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firstLine="70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Государственное автономное учреждение</w:t>
      </w:r>
    </w:p>
    <w:p w:rsidR="00000000" w:rsidDel="00000000" w:rsidP="00000000" w:rsidRDefault="00000000" w:rsidRPr="00000000" w14:paraId="00000002">
      <w:pPr>
        <w:spacing w:after="240" w:before="240" w:line="240" w:lineRule="auto"/>
        <w:ind w:firstLine="70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Волгоградской области</w:t>
      </w:r>
    </w:p>
    <w:p w:rsidR="00000000" w:rsidDel="00000000" w:rsidP="00000000" w:rsidRDefault="00000000" w:rsidRPr="00000000" w14:paraId="00000003">
      <w:pPr>
        <w:spacing w:after="240" w:before="240" w:line="240" w:lineRule="auto"/>
        <w:ind w:firstLine="70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"Исторический парк "Россия – Моя история"</w:t>
      </w:r>
    </w:p>
    <w:p w:rsidR="00000000" w:rsidDel="00000000" w:rsidP="00000000" w:rsidRDefault="00000000" w:rsidRPr="00000000" w14:paraId="00000004">
      <w:pPr>
        <w:spacing w:after="240" w:before="240" w:line="240" w:lineRule="auto"/>
        <w:ind w:left="6240" w:firstLine="140"/>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УТВЕРЖДАЮ:</w:t>
      </w:r>
    </w:p>
    <w:p w:rsidR="00000000" w:rsidDel="00000000" w:rsidP="00000000" w:rsidRDefault="00000000" w:rsidRPr="00000000" w14:paraId="00000005">
      <w:pPr>
        <w:spacing w:after="240" w:before="240" w:line="240" w:lineRule="auto"/>
        <w:ind w:left="6240" w:firstLine="140"/>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Директор ГАУ ВО</w:t>
      </w:r>
    </w:p>
    <w:p w:rsidR="00000000" w:rsidDel="00000000" w:rsidP="00000000" w:rsidRDefault="00000000" w:rsidRPr="00000000" w14:paraId="00000006">
      <w:pPr>
        <w:spacing w:after="240" w:before="240" w:line="240" w:lineRule="auto"/>
        <w:ind w:left="6240" w:firstLine="140"/>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Исторический парк</w:t>
      </w:r>
    </w:p>
    <w:p w:rsidR="00000000" w:rsidDel="00000000" w:rsidP="00000000" w:rsidRDefault="00000000" w:rsidRPr="00000000" w14:paraId="00000007">
      <w:pPr>
        <w:spacing w:after="240" w:before="240" w:line="240" w:lineRule="auto"/>
        <w:ind w:left="6240" w:firstLine="140"/>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"Россия –Моя история"</w:t>
      </w:r>
    </w:p>
    <w:p w:rsidR="00000000" w:rsidDel="00000000" w:rsidP="00000000" w:rsidRDefault="00000000" w:rsidRPr="00000000" w14:paraId="00000008">
      <w:pPr>
        <w:spacing w:after="240" w:before="240" w:line="240" w:lineRule="auto"/>
        <w:ind w:left="6240" w:firstLine="140"/>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______ А.В. Грушко</w:t>
      </w:r>
    </w:p>
    <w:p w:rsidR="00000000" w:rsidDel="00000000" w:rsidP="00000000" w:rsidRDefault="00000000" w:rsidRPr="00000000" w14:paraId="00000009">
      <w:pPr>
        <w:spacing w:after="0" w:line="24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"___" __________ 20__г.</w:t>
      </w: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Методическая разработка викторины</w:t>
      </w: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“Память сквозь века”, посвященная 800-летию со дня рождения Александра Невского</w:t>
      </w:r>
      <w:r w:rsidDel="00000000" w:rsidR="00000000" w:rsidRPr="00000000">
        <w:rPr>
          <w:rFonts w:ascii="Times New Roman" w:cs="Times New Roman" w:eastAsia="Times New Roman" w:hAnsi="Times New Roman"/>
          <w:color w:val="000000"/>
          <w:sz w:val="28"/>
          <w:szCs w:val="28"/>
          <w:highlight w:val="white"/>
          <w:rtl w:val="0"/>
        </w:rPr>
        <w:t xml:space="preserve"> </w:t>
      </w:r>
    </w:p>
    <w:p w:rsidR="00000000" w:rsidDel="00000000" w:rsidP="00000000" w:rsidRDefault="00000000" w:rsidRPr="00000000" w14:paraId="0000000F">
      <w:pPr>
        <w:spacing w:after="0" w:line="240" w:lineRule="auto"/>
        <w:jc w:val="righ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0">
      <w:pPr>
        <w:spacing w:after="0" w:line="240" w:lineRule="auto"/>
        <w:jc w:val="righ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1">
      <w:pPr>
        <w:spacing w:after="0" w:line="240" w:lineRule="auto"/>
        <w:jc w:val="righ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2">
      <w:pPr>
        <w:spacing w:after="0" w:line="240" w:lineRule="auto"/>
        <w:jc w:val="righ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3">
      <w:pPr>
        <w:spacing w:after="0" w:line="240" w:lineRule="auto"/>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4">
      <w:pPr>
        <w:spacing w:after="0" w:line="240" w:lineRule="auto"/>
        <w:jc w:val="righ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5">
      <w:pPr>
        <w:spacing w:after="0" w:line="240" w:lineRule="auto"/>
        <w:jc w:val="righ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6">
      <w:pPr>
        <w:spacing w:after="0" w:line="240" w:lineRule="auto"/>
        <w:jc w:val="righ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7">
      <w:pPr>
        <w:spacing w:after="0" w:line="24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Подготовил:</w:t>
      </w:r>
    </w:p>
    <w:p w:rsidR="00000000" w:rsidDel="00000000" w:rsidP="00000000" w:rsidRDefault="00000000" w:rsidRPr="00000000" w14:paraId="00000018">
      <w:pPr>
        <w:spacing w:after="240" w:before="240" w:line="240" w:lineRule="auto"/>
        <w:ind w:left="-1140" w:firstLine="700"/>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Лектор (экскурсовод)</w:t>
      </w:r>
    </w:p>
    <w:p w:rsidR="00000000" w:rsidDel="00000000" w:rsidP="00000000" w:rsidRDefault="00000000" w:rsidRPr="00000000" w14:paraId="00000019">
      <w:pPr>
        <w:spacing w:after="240" w:before="240" w:line="240" w:lineRule="auto"/>
        <w:ind w:left="-1140" w:firstLine="700"/>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А.С. Веремеенко</w:t>
      </w:r>
    </w:p>
    <w:p w:rsidR="00000000" w:rsidDel="00000000" w:rsidP="00000000" w:rsidRDefault="00000000" w:rsidRPr="00000000" w14:paraId="0000001A">
      <w:pPr>
        <w:spacing w:after="240" w:before="240" w:line="360" w:lineRule="auto"/>
        <w:ind w:left="-1140" w:firstLine="700"/>
        <w:jc w:val="righ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B">
      <w:pPr>
        <w:spacing w:after="240" w:before="240" w:line="360" w:lineRule="auto"/>
        <w:ind w:left="-1140" w:firstLine="700"/>
        <w:jc w:val="right"/>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Волгоград 2021</w:t>
      </w:r>
    </w:p>
    <w:p w:rsidR="00000000" w:rsidDel="00000000" w:rsidP="00000000" w:rsidRDefault="00000000" w:rsidRPr="00000000" w14:paraId="0000001D">
      <w:pPr>
        <w:spacing w:after="0" w:line="240" w:lineRule="auto"/>
        <w:jc w:val="center"/>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1E">
      <w:pPr>
        <w:widowControl w:val="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Викторина "Память сквозь века", посвященная 800-летию со дня рождения Александра Невского, направлена на укрепление памяти о жизни и деяниях благоверного князя. Викторина может быть дополнена и расширена вопросами, в том числе краеведческой тематики. При формировании новых вопросов рекомендуется их формулировать таким образом, чтобы участники викторины не могли найти прямого ответа в интернете либо в исторической литературе.</w:t>
      </w:r>
    </w:p>
    <w:p w:rsidR="00000000" w:rsidDel="00000000" w:rsidP="00000000" w:rsidRDefault="00000000" w:rsidRPr="00000000" w14:paraId="00000020">
      <w:pPr>
        <w:tabs>
          <w:tab w:val="left" w:pos="54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tabs>
          <w:tab w:val="left" w:pos="540"/>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 создание условий для развития интереса к отечественной истории, формирование чувства гордости за героическое прошлое Родины, увековечение памяти о великих людях России.</w:t>
      </w:r>
    </w:p>
    <w:p w:rsidR="00000000" w:rsidDel="00000000" w:rsidP="00000000" w:rsidRDefault="00000000" w:rsidRPr="00000000" w14:paraId="00000022">
      <w:pPr>
        <w:tabs>
          <w:tab w:val="left" w:pos="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tabs>
          <w:tab w:val="left" w:pos="0"/>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Задачи:</w:t>
      </w:r>
    </w:p>
    <w:p w:rsidR="00000000" w:rsidDel="00000000" w:rsidP="00000000" w:rsidRDefault="00000000" w:rsidRPr="00000000" w14:paraId="00000024">
      <w:pPr>
        <w:tabs>
          <w:tab w:val="left" w:pos="540"/>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развитие и углубление знаний об Александре Невском как воине, политике и дипломате;</w:t>
      </w:r>
    </w:p>
    <w:p w:rsidR="00000000" w:rsidDel="00000000" w:rsidP="00000000" w:rsidRDefault="00000000" w:rsidRPr="00000000" w14:paraId="00000025">
      <w:pPr>
        <w:tabs>
          <w:tab w:val="left" w:pos="540"/>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формирование осознанного отношения к истории Отчества и роли выдающихся деятелей истории;</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повышение познавательной мотивации  к изучению вклада святого благоверного  князя  Александра  Невского в развитие российской истории и культуры.</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Участники:</w:t>
      </w:r>
      <w:r w:rsidDel="00000000" w:rsidR="00000000" w:rsidRPr="00000000">
        <w:rPr>
          <w:rFonts w:ascii="Times New Roman" w:cs="Times New Roman" w:eastAsia="Times New Roman" w:hAnsi="Times New Roman"/>
          <w:sz w:val="28"/>
          <w:szCs w:val="28"/>
          <w:rtl w:val="0"/>
        </w:rPr>
        <w:t xml:space="preserve"> викторина проводится для двух возрастных категорий: до 16 лет включительно, от 17 лет и старше. Принять участие может любой желающий вне зависимости от места проживания, вероисповедания и иных критериев.</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Продолжительность:</w:t>
      </w:r>
      <w:r w:rsidDel="00000000" w:rsidR="00000000" w:rsidRPr="00000000">
        <w:rPr>
          <w:rFonts w:ascii="Times New Roman" w:cs="Times New Roman" w:eastAsia="Times New Roman" w:hAnsi="Times New Roman"/>
          <w:sz w:val="28"/>
          <w:szCs w:val="28"/>
          <w:rtl w:val="0"/>
        </w:rPr>
        <w:t xml:space="preserve"> до 30 минут</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Формат</w:t>
      </w:r>
      <w:r w:rsidDel="00000000" w:rsidR="00000000" w:rsidRPr="00000000">
        <w:rPr>
          <w:rFonts w:ascii="Times New Roman" w:cs="Times New Roman" w:eastAsia="Times New Roman" w:hAnsi="Times New Roman"/>
          <w:sz w:val="28"/>
          <w:szCs w:val="28"/>
          <w:rtl w:val="0"/>
        </w:rPr>
        <w:t xml:space="preserve">: викторина может проводиться как очно, так и заочно. </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Условия проведения</w:t>
      </w:r>
      <w:r w:rsidDel="00000000" w:rsidR="00000000" w:rsidRPr="00000000">
        <w:rPr>
          <w:rFonts w:ascii="Times New Roman" w:cs="Times New Roman" w:eastAsia="Times New Roman" w:hAnsi="Times New Roman"/>
          <w:sz w:val="28"/>
          <w:szCs w:val="28"/>
          <w:rtl w:val="0"/>
        </w:rPr>
        <w:t xml:space="preserve">: Проводя в очном формате викторину необходимо раздать участникам листы для ответов, огласить цели, задачи, продолжительность викторины и зачитать участникам вопросы. Также необходимо определить время, отведенное на выполнение задания.</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заочном проведении викторина может быть размещена на любом онлайн сервисе, который поддерживает прием ответов за фиксированное время.</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обработке ответов приоритет необходимо отдавать наиболее развернутым ответам, а также обращать внимание на ключевые фразы, конкретизирующие ответ.</w:t>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Вопросы </w:t>
      </w:r>
      <w:r w:rsidDel="00000000" w:rsidR="00000000" w:rsidRPr="00000000">
        <w:rPr>
          <w:rFonts w:ascii="Times New Roman" w:cs="Times New Roman" w:eastAsia="Times New Roman" w:hAnsi="Times New Roman"/>
          <w:b w:val="1"/>
          <w:color w:val="000000"/>
          <w:sz w:val="28"/>
          <w:szCs w:val="28"/>
          <w:highlight w:val="white"/>
          <w:rtl w:val="0"/>
        </w:rPr>
        <w:t xml:space="preserve">викторины "Память сквозь века", посвященная 800-летию со дня рождения Александра Невского</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(для возрастной группы до 16 лет)</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1: Знаменитое Ледовое побоище 1240 г. состоялось на реке Неве. Назовите вторую реку, на которой происходила эта битва.</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Ижора</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2: Как назывался войсковой строй немецких рыцарей, описанный в поэме Н. Кончаловской "Наша древняя столица"</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"Голова кабанья" </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Вопрос 3: К каким событиям приурочено создание триптиха "Александр Невский" П.Д. Корина?</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К Великой Отечественной войне, когда тема противостояния захватчику была центральной в искусстве. Солдаты, шедшие на фронт, вдохновлялись им. Тыловики, обеспечивающие солдат едой, оружием и одеждой тоже находили в нем утешение.</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4: В каком году Александр Невский стал покровителем города Волгограда?</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2006 г.</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5: Не так давно в центре Волгограда появилось масштабное и важное сооружение – Александро-Невский собор, который восстановлен по прототипу одноименного разрушенного в 1932 году собора, находившегося в нашем городе. При каком императоре появилась идея строительства этого собора в Царицыне (ныне Волгоград)?</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при Александре III.</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6: На какой площади Волгограда находится памятник Александру Невскому?</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на площади Павших Борцов</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7: Какое прозвище получил дед Александра Невского, известный тем, что имел много детей и находившийся у власти во Владимирском княжестве?</w:t>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Всеволод Большое Гнездо</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Вопросы </w:t>
      </w:r>
      <w:r w:rsidDel="00000000" w:rsidR="00000000" w:rsidRPr="00000000">
        <w:rPr>
          <w:rFonts w:ascii="Times New Roman" w:cs="Times New Roman" w:eastAsia="Times New Roman" w:hAnsi="Times New Roman"/>
          <w:b w:val="1"/>
          <w:color w:val="212529"/>
          <w:sz w:val="28"/>
          <w:szCs w:val="28"/>
          <w:highlight w:val="white"/>
          <w:rtl w:val="0"/>
        </w:rPr>
        <w:t xml:space="preserve">викторины "Память сквозь века", посвященная 800-летию со дня рождения Александра Невского</w:t>
      </w:r>
      <w:r w:rsidDel="00000000" w:rsidR="00000000" w:rsidRPr="00000000">
        <w:rPr>
          <w:rFonts w:ascii="Times New Roman" w:cs="Times New Roman" w:eastAsia="Times New Roman" w:hAnsi="Times New Roman"/>
          <w:b w:val="1"/>
          <w:sz w:val="28"/>
          <w:szCs w:val="28"/>
          <w:rtl w:val="0"/>
        </w:rPr>
        <w:t xml:space="preserve"> (для возрастной группы от 17 лет)</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1: С врагами какого библейского персонажа, сравнивает своих врагов Александр Невский?</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с врагами Моисея.</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Источник: "Повесть о житии Александра Невского"</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2: Откуда взялось, крылатое выражение, приписываемое Александру Невскому "кто с мечом к нам, придёт, тот от меча и погибнет"?</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Считается, что фраза является аллюзией на цитату из Евангелия от Матфея (глава 26, стих 52) "Ибо все, взявшие меч, мечом погибнут". Эти слова произносит Иисус Христос, когда его приходят схватить и обречь на казнь, а один из учеников хватается за оружие и пытается защитить учителя от толпы.</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Источник: Евангелие от Матфея.</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3: 1 декабря 1938-го года, эта музыка, впервые прозвучала в кантате, 17 мая 1939-го года в фильме, а 22 июня 1941-го года, как самостоятельное произведение. Как назывался фильм и музыкальное произведение?</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фильм "Александр Невский", музыкальное произведение "Вставайте люди русские"</w:t>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Источник: Музыкальная энциклопедия. – М.: Советская энциклопедия, 1978. – Т. 4. – С. 419.</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4: У Александра Невского, были знаменитые предки, назовите имена его прадеда, деда и отца, данные им при крещении.</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прадед – Георгий, дед – Дмитрий, отец – Фёдор.</w:t>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"Большая энциклопедия Кирилла и Мефодия"</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5. В 1942 г. Художнику И.С.Телятникову была поручена разработка эскиза ордена Александра Невского. На ордене должен был быть профиль Александра, причем такой, чтобы сразу было ясно, кто это. Однако не сохранилось ни портретов, ни описаний внешности Невского. Как в этой ситуации поступил художник?</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На ордене изображен профиль артиста Николая Черкасова, незадолго до этого сыгравшего главную роль в фильме "Александр Невский".</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Источник: Ю. Саломатов. Как стать изобретателем. — М.: Просвещение, 1990. — С. 168.</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6: Как звали молодого дружинника, подрубившего столб шатра шведского предводителя, во время Невской битвы 1240-го года.</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Савва.</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Источник: Сыров, С.Н. Страницы истории. Книга для чтения на русском языке/С.Н. Сыров. – Москва: "Русский язык", 1981. – 351. С – 46.</w:t>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 7: Не так давно в центре Волгограда появилось масштабное и важное сооружение – Александро-Невский собор, который восстановлен по прототипу одноименного разрушенного собора, находившегося в нашем городе в начале XX века. Назовите событие, после которого появилась идея строительства Александро-Невского собора в Царицыне (ныне Волгоград)?</w:t>
      </w:r>
    </w:p>
    <w:p w:rsidR="00000000" w:rsidDel="00000000" w:rsidP="00000000" w:rsidRDefault="00000000" w:rsidRPr="00000000" w14:paraId="0000006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 После чудесного спасения в железнодорожной катастрофе царя Александра III, святым покровителем которого и был Святой князь Александр Невский</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normaltextrun" w:customStyle="1">
    <w:name w:val="normaltextrun"/>
    <w:basedOn w:val="a0"/>
    <w:rsid w:val="00636258"/>
  </w:style>
  <w:style w:type="character" w:styleId="a3">
    <w:name w:val="Hyperlink"/>
    <w:rsid w:val="00636258"/>
    <w:rPr>
      <w:color w:val="0000ff"/>
      <w:u w:val="single"/>
    </w:rPr>
  </w:style>
  <w:style w:type="paragraph" w:styleId="1" w:customStyle="1">
    <w:name w:val="Абзац списка1"/>
    <w:basedOn w:val="a"/>
    <w:rsid w:val="00636258"/>
    <w:pPr>
      <w:spacing w:after="200" w:line="276" w:lineRule="auto"/>
      <w:ind w:left="720"/>
    </w:pPr>
    <w:rPr>
      <w:rFonts w:ascii="Calibri" w:cs="Calibri" w:eastAsia="Times New Roman" w:hAnsi="Calibri"/>
    </w:rPr>
  </w:style>
  <w:style w:type="paragraph" w:styleId="a4">
    <w:name w:val="List Paragraph"/>
    <w:basedOn w:val="a"/>
    <w:uiPriority w:val="34"/>
    <w:qFormat w:val="1"/>
    <w:rsid w:val="00822BE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V51bP6fG6Nb6nbGjp1TvPV+g==">AMUW2mUa04XYQ5EHC2AsN0tZ/M0+/pg/8KQXnIND5ragVVX36q5Y8xIL3tOsxhh5T0bnT5dt4RWDrS/s5Kd8H/YUzJwPC2MqlMUarAcxfHOhEiro9QPriwxEqsWmmR8QtpmyeiOmugkA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2021-12-26T09:11:00Z</dcterms:created>
  <dc:creator>Татьяна Т.В. Хомутова</dc:creator>
</cp:coreProperties>
</file>